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30F" w:rsidRDefault="0044330F" w:rsidP="0044330F">
      <w:pPr>
        <w:rPr>
          <w:b/>
          <w:lang w:val="kk-KZ"/>
        </w:rPr>
      </w:pPr>
    </w:p>
    <w:p w:rsidR="0044330F" w:rsidRDefault="0044330F" w:rsidP="0044330F">
      <w:pPr>
        <w:pStyle w:val="2"/>
        <w:spacing w:line="216" w:lineRule="auto"/>
        <w:jc w:val="center"/>
        <w:rPr>
          <w:b/>
          <w:bCs/>
        </w:rPr>
      </w:pPr>
      <w:r>
        <w:rPr>
          <w:b/>
          <w:bCs/>
        </w:rPr>
        <w:t xml:space="preserve">Классификация волоконных </w:t>
      </w:r>
      <w:proofErr w:type="spellStart"/>
      <w:r>
        <w:rPr>
          <w:b/>
          <w:bCs/>
        </w:rPr>
        <w:t>световодов</w:t>
      </w:r>
      <w:proofErr w:type="spellEnd"/>
      <w:r>
        <w:rPr>
          <w:b/>
          <w:bCs/>
        </w:rPr>
        <w:t xml:space="preserve">, Принципы технологии изготовления волоконных </w:t>
      </w:r>
      <w:proofErr w:type="spellStart"/>
      <w:r>
        <w:rPr>
          <w:b/>
          <w:bCs/>
        </w:rPr>
        <w:t>световодов</w:t>
      </w:r>
      <w:proofErr w:type="spellEnd"/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Простой волоконный </w:t>
      </w:r>
      <w:proofErr w:type="spellStart"/>
      <w:r>
        <w:t>световод</w:t>
      </w:r>
      <w:proofErr w:type="spellEnd"/>
      <w:r>
        <w:t xml:space="preserve"> (ВС) представляет собой структуру из двух коаксиальных цилиндров – сердцевину с показателем преломления 1 </w:t>
      </w:r>
      <w:r>
        <w:rPr>
          <w:i/>
          <w:iCs/>
        </w:rPr>
        <w:t xml:space="preserve">n </w:t>
      </w:r>
      <w:r>
        <w:t xml:space="preserve">и оболочку с показателем преломления 2 </w:t>
      </w:r>
      <w:proofErr w:type="gramStart"/>
      <w:r>
        <w:rPr>
          <w:i/>
          <w:iCs/>
        </w:rPr>
        <w:t xml:space="preserve">n </w:t>
      </w:r>
      <w:r>
        <w:t>,</w:t>
      </w:r>
      <w:proofErr w:type="gramEnd"/>
      <w:r>
        <w:t xml:space="preserve"> обычно заключенную в защитную оболочку из полимерного материала. Важной характеристикой ВС является профиль показателя преломления – радиальная зависимость показателя преломления такой структуры.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Диаметр оболочки ВС обычно равен 125 мкм (иногда 30, 200, 400 мкм</w:t>
      </w:r>
      <w:proofErr w:type="gramStart"/>
      <w:r>
        <w:t>) ,</w:t>
      </w:r>
      <w:proofErr w:type="gramEnd"/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радиус </w:t>
      </w:r>
      <w:r>
        <w:rPr>
          <w:i/>
          <w:iCs/>
        </w:rPr>
        <w:t xml:space="preserve">a </w:t>
      </w:r>
      <w:r>
        <w:t xml:space="preserve">сердцевины </w:t>
      </w:r>
      <w:proofErr w:type="spellStart"/>
      <w:r>
        <w:t>многомодовых</w:t>
      </w:r>
      <w:proofErr w:type="spellEnd"/>
      <w:r>
        <w:t xml:space="preserve"> ВС равен 25-100 мкм, </w:t>
      </w:r>
      <w:proofErr w:type="spellStart"/>
      <w:r>
        <w:t>одномодовых</w:t>
      </w:r>
      <w:proofErr w:type="spellEnd"/>
      <w:r>
        <w:t xml:space="preserve"> – 3-6 мкм. В оптических приборах нередко применяются однородные кварцевые </w:t>
      </w:r>
      <w:proofErr w:type="spellStart"/>
      <w:r>
        <w:t>световоды</w:t>
      </w:r>
      <w:proofErr w:type="spellEnd"/>
      <w:r>
        <w:t xml:space="preserve"> с пластиковой оболочкой и полимерные, полностью изготовленные из полимерных материалов, </w:t>
      </w:r>
      <w:proofErr w:type="spellStart"/>
      <w:r>
        <w:t>световоды</w:t>
      </w:r>
      <w:proofErr w:type="spellEnd"/>
      <w:r>
        <w:t>. Как правило, они отличаются большой величиной числовой апертуры (0.3 – 0.5), большим диаметром сердцевины (150-200 мкм), а по параметрам дисперсии и оптических потерь значительно уступают лучшим образцам ВС.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В волоконно-оптических гироскопах и в волоконных интерферометрах</w:t>
      </w:r>
    </w:p>
    <w:p w:rsidR="0044330F" w:rsidRPr="0044330F" w:rsidRDefault="0044330F" w:rsidP="0044330F">
      <w:pPr>
        <w:autoSpaceDE w:val="0"/>
        <w:autoSpaceDN w:val="0"/>
        <w:adjustRightInd w:val="0"/>
        <w:jc w:val="both"/>
      </w:pPr>
      <w:r>
        <w:t xml:space="preserve">используются </w:t>
      </w:r>
      <w:proofErr w:type="spellStart"/>
      <w:r>
        <w:t>световоды</w:t>
      </w:r>
      <w:proofErr w:type="spellEnd"/>
      <w:r>
        <w:t xml:space="preserve"> с сохранением поляризации излучения. В таких </w:t>
      </w:r>
      <w:proofErr w:type="spellStart"/>
      <w:r>
        <w:t>одномодовых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необходимая оптическая анизотропия сердцевины оптоволокна достигается вследствие эффекта </w:t>
      </w:r>
      <w:proofErr w:type="spellStart"/>
      <w:r>
        <w:t>фотоупругости</w:t>
      </w:r>
      <w:proofErr w:type="spellEnd"/>
      <w:r>
        <w:t xml:space="preserve">. Различие упругих механических напряжений вдоль ортогональных направлений </w:t>
      </w:r>
      <w:proofErr w:type="gramStart"/>
      <w:r>
        <w:t xml:space="preserve">( </w:t>
      </w:r>
      <w:r>
        <w:rPr>
          <w:i/>
          <w:iCs/>
        </w:rPr>
        <w:t>x</w:t>
      </w:r>
      <w:proofErr w:type="gramEnd"/>
      <w:r>
        <w:t xml:space="preserve">, </w:t>
      </w:r>
      <w:r>
        <w:rPr>
          <w:i/>
          <w:iCs/>
        </w:rPr>
        <w:t xml:space="preserve">y </w:t>
      </w:r>
      <w:r>
        <w:t xml:space="preserve">) в сечении </w:t>
      </w:r>
      <w:proofErr w:type="spellStart"/>
      <w:r>
        <w:t>световода</w:t>
      </w:r>
      <w:proofErr w:type="spellEnd"/>
      <w:r>
        <w:t xml:space="preserve"> создается благодаря своеобразному расположению напрягающих оболочек в структуре ВС. </w:t>
      </w:r>
      <w:r>
        <w:rPr>
          <w:lang w:val="en-US"/>
        </w:rPr>
        <w:t>B</w:t>
      </w:r>
      <w:proofErr w:type="spellStart"/>
      <w:r>
        <w:t>олоконные</w:t>
      </w:r>
      <w:proofErr w:type="spellEnd"/>
      <w:r>
        <w:t xml:space="preserve"> </w:t>
      </w:r>
      <w:proofErr w:type="spellStart"/>
      <w:r>
        <w:t>световоды</w:t>
      </w:r>
      <w:proofErr w:type="spellEnd"/>
      <w:r>
        <w:t xml:space="preserve"> обычно подразделяются на </w:t>
      </w:r>
      <w:proofErr w:type="spellStart"/>
      <w:r>
        <w:t>одномодовые</w:t>
      </w:r>
      <w:proofErr w:type="spellEnd"/>
      <w:r>
        <w:t>,</w:t>
      </w:r>
      <w:r w:rsidRPr="0044330F">
        <w:t xml:space="preserve"> </w:t>
      </w:r>
      <w:proofErr w:type="spellStart"/>
      <w:r>
        <w:t>многомодовые</w:t>
      </w:r>
      <w:proofErr w:type="spellEnd"/>
      <w:r>
        <w:t>, градиентные, ВС с сохранением поляризации и ВС со</w:t>
      </w:r>
      <w:r w:rsidRPr="0044330F">
        <w:t xml:space="preserve"> </w:t>
      </w:r>
      <w:r>
        <w:t>сложным профилем показателя преломления (к ним относятся ВС с</w:t>
      </w:r>
      <w:r w:rsidRPr="0044330F">
        <w:t xml:space="preserve"> </w:t>
      </w:r>
      <w:r>
        <w:t xml:space="preserve">несколькими </w:t>
      </w:r>
      <w:proofErr w:type="spellStart"/>
      <w:r>
        <w:t>световодными</w:t>
      </w:r>
      <w:proofErr w:type="spellEnd"/>
      <w:r>
        <w:t xml:space="preserve"> жилами, ВС с некруглой сердцевиной, а также</w:t>
      </w:r>
      <w:r w:rsidRPr="0044330F">
        <w:t xml:space="preserve"> </w:t>
      </w:r>
      <w:r>
        <w:t xml:space="preserve">«дырчатые», </w:t>
      </w:r>
      <w:proofErr w:type="spellStart"/>
      <w:r>
        <w:t>микроструктурированные</w:t>
      </w:r>
      <w:proofErr w:type="spellEnd"/>
      <w:r>
        <w:t xml:space="preserve"> ВС).</w:t>
      </w:r>
      <w:r w:rsidRPr="0044330F">
        <w:t xml:space="preserve">    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 w:rsidRPr="0044330F">
        <w:t xml:space="preserve">      </w:t>
      </w:r>
      <w:r>
        <w:t>Профиль показателя преломления в ВС определяется технологией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изготовления волокна. Старым методом двойного тигля в 80-е годы удалось получить оптоволокно с потерями величиной 2-8 дБ/км. </w:t>
      </w:r>
      <w:proofErr w:type="spellStart"/>
      <w:r>
        <w:t>Световоды</w:t>
      </w:r>
      <w:proofErr w:type="spellEnd"/>
      <w:r>
        <w:t xml:space="preserve"> </w:t>
      </w:r>
      <w:proofErr w:type="gramStart"/>
      <w:r>
        <w:t>высшего  качества</w:t>
      </w:r>
      <w:proofErr w:type="gramEnd"/>
      <w:r>
        <w:t xml:space="preserve"> получены по принципиально новой технологии, разработанной в 70-е годы. Сущность такой технологии состоит в изготовлении, на первом этапе, крупногабаритного стеклянного стержня-заготовки с требуемым радиальным распределением показателя преломления и - на втором этапе -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вытяжке оптоволокна при нагревании этой заготовки выше температуры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25 плавления стекла (около 1400 С). Первое время при изготовлении заготовок практиковался метод наружного осаждения окислов металлов из </w:t>
      </w:r>
      <w:proofErr w:type="spellStart"/>
      <w:r>
        <w:t>газовойфазы</w:t>
      </w:r>
      <w:proofErr w:type="spellEnd"/>
      <w:r>
        <w:t xml:space="preserve"> на поверхность стержня из графита (</w:t>
      </w:r>
      <w:proofErr w:type="spellStart"/>
      <w:r>
        <w:t>Outside</w:t>
      </w:r>
      <w:proofErr w:type="spellEnd"/>
      <w:r>
        <w:t xml:space="preserve"> 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Phase</w:t>
      </w:r>
      <w:proofErr w:type="spellEnd"/>
      <w:r>
        <w:t xml:space="preserve"> </w:t>
      </w:r>
      <w:proofErr w:type="spellStart"/>
      <w:r>
        <w:t>Oxidation</w:t>
      </w:r>
      <w:proofErr w:type="spellEnd"/>
      <w:r>
        <w:t xml:space="preserve"> – «OVPO»). Сегодня наиболее распространен метод внутреннего осаждения из газовой фазы (</w:t>
      </w:r>
      <w:proofErr w:type="spellStart"/>
      <w:r>
        <w:t>Modified</w:t>
      </w:r>
      <w:proofErr w:type="spellEnd"/>
      <w:r>
        <w:t xml:space="preserve"> </w:t>
      </w:r>
      <w:proofErr w:type="spellStart"/>
      <w:r>
        <w:t>Chemical</w:t>
      </w:r>
      <w:proofErr w:type="spellEnd"/>
      <w:r>
        <w:t xml:space="preserve"> 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Deposition</w:t>
      </w:r>
      <w:proofErr w:type="spellEnd"/>
      <w:r>
        <w:t xml:space="preserve"> – «MCVD»). Сущность MCVD-метода состоит в последовательном, по специальному алгоритму, осаждении на внутренней поверхности вращающейся и нагреваемой кварцевой трубки продуктов сгорания (окислов) различных веществ, после чего полученная таким способом пористая заготовка разогревается до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температуры стеклования – образования прозрачного стекла. 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Оптические потери в ВС, полученных методом MCVD, достигают уровня 0.2 дБ/км на длине волны 1.55 мкм. Еще лучшие результаты, особенно в области длин волн около 1,3 мкм, получены при изготовлении заготовок в вакууме с использованием метода торцевого осаждения (</w:t>
      </w:r>
      <w:proofErr w:type="spellStart"/>
      <w:r>
        <w:t>Vapor</w:t>
      </w:r>
      <w:proofErr w:type="spellEnd"/>
      <w:r>
        <w:t xml:space="preserve"> </w:t>
      </w:r>
      <w:proofErr w:type="spellStart"/>
      <w:r>
        <w:t>Phase</w:t>
      </w:r>
      <w:proofErr w:type="spellEnd"/>
      <w:r>
        <w:t xml:space="preserve"> </w:t>
      </w:r>
      <w:proofErr w:type="spellStart"/>
      <w:r>
        <w:t>Axial</w:t>
      </w:r>
      <w:proofErr w:type="spellEnd"/>
      <w:r>
        <w:t xml:space="preserve"> </w:t>
      </w:r>
      <w:proofErr w:type="spellStart"/>
      <w:r>
        <w:t>Deposition</w:t>
      </w:r>
      <w:proofErr w:type="spellEnd"/>
      <w:r>
        <w:t xml:space="preserve"> – «VAD»). Из одной монолитной стеклянной заготовки длиной около 1 метра и диаметром 10-15 мм можно вытянуть до 50 км градиентного (или </w:t>
      </w:r>
      <w:proofErr w:type="spellStart"/>
      <w:r>
        <w:t>многомодового</w:t>
      </w:r>
      <w:proofErr w:type="spellEnd"/>
      <w:r>
        <w:t xml:space="preserve">) волокна и свыше 100 км – </w:t>
      </w:r>
      <w:proofErr w:type="spellStart"/>
      <w:r>
        <w:t>одномодового</w:t>
      </w:r>
      <w:proofErr w:type="spellEnd"/>
      <w:r>
        <w:t xml:space="preserve"> волокна.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Оптические потери в линиях связи (и в </w:t>
      </w:r>
      <w:proofErr w:type="spellStart"/>
      <w:r>
        <w:t>световодах</w:t>
      </w:r>
      <w:proofErr w:type="spellEnd"/>
      <w:r>
        <w:t>) удобно исчислять в дБ/км. Следует отметить, что при очень высоких плотностях мощности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оптического излучения в кварцевом </w:t>
      </w:r>
      <w:proofErr w:type="spellStart"/>
      <w:r>
        <w:t>световоде</w:t>
      </w:r>
      <w:proofErr w:type="spellEnd"/>
      <w:r>
        <w:t xml:space="preserve"> - более 108 </w:t>
      </w:r>
      <w:r>
        <w:rPr>
          <w:i/>
          <w:iCs/>
        </w:rPr>
        <w:t>Вт</w:t>
      </w:r>
      <w:r>
        <w:t xml:space="preserve">/ </w:t>
      </w:r>
      <w:r>
        <w:rPr>
          <w:i/>
          <w:iCs/>
        </w:rPr>
        <w:t>см</w:t>
      </w:r>
      <w:proofErr w:type="gramStart"/>
      <w:r>
        <w:t>2 ,</w:t>
      </w:r>
      <w:proofErr w:type="gramEnd"/>
    </w:p>
    <w:p w:rsidR="0044330F" w:rsidRDefault="0044330F" w:rsidP="0044330F">
      <w:pPr>
        <w:autoSpaceDE w:val="0"/>
        <w:autoSpaceDN w:val="0"/>
        <w:adjustRightInd w:val="0"/>
        <w:jc w:val="both"/>
      </w:pPr>
      <w:r>
        <w:t>становятся заметными эффекты нелинейности, например, ВКР и ВРМБ,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lastRenderedPageBreak/>
        <w:t>которые сопровождаются дополнительными оптическими потерями. При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небольших уровнях мощности распространяющегося излучения основными причинами затухания излучения в ВС являются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- рассеяние Релея (рассеяние на микрочастицах с размерами </w:t>
      </w:r>
      <w:r>
        <w:rPr>
          <w:i/>
          <w:iCs/>
        </w:rPr>
        <w:t xml:space="preserve">d </w:t>
      </w:r>
      <w:proofErr w:type="spellStart"/>
      <w:r>
        <w:t>pp</w:t>
      </w:r>
      <w:proofErr w:type="gramStart"/>
      <w:r>
        <w:rPr>
          <w:rFonts w:eastAsia="SymbolMT"/>
        </w:rPr>
        <w:t>λ</w:t>
      </w:r>
      <w:proofErr w:type="spellEnd"/>
      <w:r>
        <w:rPr>
          <w:rFonts w:eastAsia="SymbolMT"/>
        </w:rPr>
        <w:t xml:space="preserve"> </w:t>
      </w:r>
      <w:r>
        <w:t>)</w:t>
      </w:r>
      <w:proofErr w:type="gramEnd"/>
      <w:r>
        <w:t>,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- фундаментальное поглощение,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- рассеяние Ми (рассеяние на микрочастицах и неоднородностях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масштаба </w:t>
      </w:r>
      <w:r>
        <w:rPr>
          <w:i/>
          <w:iCs/>
        </w:rPr>
        <w:t xml:space="preserve">d </w:t>
      </w:r>
      <w:proofErr w:type="spellStart"/>
      <w:r>
        <w:t>ff</w:t>
      </w:r>
      <w:proofErr w:type="spellEnd"/>
      <w:r>
        <w:t xml:space="preserve"> </w:t>
      </w:r>
      <w:proofErr w:type="gramStart"/>
      <w:r>
        <w:rPr>
          <w:rFonts w:eastAsia="SymbolMT"/>
        </w:rPr>
        <w:t xml:space="preserve">λ </w:t>
      </w:r>
      <w:r>
        <w:t>)</w:t>
      </w:r>
      <w:proofErr w:type="gramEnd"/>
      <w:r>
        <w:t>,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- радиационные потери на дефектах </w:t>
      </w:r>
      <w:proofErr w:type="spellStart"/>
      <w:r>
        <w:t>световода</w:t>
      </w:r>
      <w:proofErr w:type="spellEnd"/>
      <w:r>
        <w:t xml:space="preserve"> и при изгибах волокна.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Характерными особенностями </w:t>
      </w:r>
      <w:proofErr w:type="spellStart"/>
      <w:r>
        <w:t>релеевского</w:t>
      </w:r>
      <w:proofErr w:type="spellEnd"/>
      <w:r>
        <w:t xml:space="preserve"> рассеяния света являются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примерно равное рассеяние в прямом и обратном направлениях, линейная поляризация рассеянного в сторону излучения и сильная, пропорциональная 1/</w:t>
      </w:r>
      <w:r>
        <w:rPr>
          <w:rFonts w:eastAsia="SymbolMT"/>
        </w:rPr>
        <w:t>λ</w:t>
      </w:r>
      <w:proofErr w:type="gramStart"/>
      <w:r>
        <w:t>4 ,</w:t>
      </w:r>
      <w:proofErr w:type="gramEnd"/>
      <w:r>
        <w:t xml:space="preserve"> зависимость мощности рассеянного излучения от длины волны. Вклад </w:t>
      </w:r>
      <w:proofErr w:type="spellStart"/>
      <w:r>
        <w:t>релеевского</w:t>
      </w:r>
      <w:proofErr w:type="spellEnd"/>
      <w:r>
        <w:t xml:space="preserve"> рассеяния в потери оптической мощности в ВС наиболее значителен в коротковолновой, менее 0.8 мкм области спектра. Рассеяние на крупных неоднородностях (Ми) отличается вытянутой в направлении распространения падающего света угловой диаграммой и относительно слабой спектральной зависимостью мощности рассеяния.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Потери вследствие фундаментального поглощения излучения в стекле обусловлены тремя механизмами: собственным поглощением материала, поглощением на примесях (несобственным поглощением) и потерями на дефектах атомной решетки. Мощное собственное поглощение вызывается электронными переходами в ультрафиолетовой (УФ) области спектра и переходами между колебательными уровнями в инфракрасной (ИК) области спектра системы энергетических уровней молекулы кварца </w:t>
      </w:r>
      <w:proofErr w:type="gramStart"/>
      <w:r>
        <w:t>( 2</w:t>
      </w:r>
      <w:proofErr w:type="gramEnd"/>
      <w:r>
        <w:t xml:space="preserve"> </w:t>
      </w:r>
      <w:proofErr w:type="spellStart"/>
      <w:r>
        <w:rPr>
          <w:i/>
          <w:iCs/>
        </w:rPr>
        <w:t>SiO</w:t>
      </w:r>
      <w:proofErr w:type="spellEnd"/>
      <w:r>
        <w:rPr>
          <w:i/>
          <w:iCs/>
        </w:rPr>
        <w:t xml:space="preserve"> </w:t>
      </w:r>
      <w:r>
        <w:t xml:space="preserve">). Так значительное поглощение из-за перестройки электронных орбит в 2 </w:t>
      </w:r>
      <w:proofErr w:type="spellStart"/>
      <w:r>
        <w:rPr>
          <w:i/>
          <w:iCs/>
        </w:rPr>
        <w:t>SiO</w:t>
      </w:r>
      <w:proofErr w:type="spellEnd"/>
      <w:r>
        <w:rPr>
          <w:i/>
          <w:iCs/>
        </w:rPr>
        <w:t xml:space="preserve"> </w:t>
      </w:r>
      <w:r>
        <w:t>происходит в УФ-области спектра на длине волны около 0.14 мкм.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Наиболее интенсивное поглощение вследствие переходов между</w:t>
      </w:r>
    </w:p>
    <w:p w:rsidR="0044330F" w:rsidRDefault="0044330F" w:rsidP="0044330F">
      <w:pPr>
        <w:autoSpaceDE w:val="0"/>
        <w:autoSpaceDN w:val="0"/>
        <w:adjustRightInd w:val="0"/>
        <w:jc w:val="both"/>
        <w:rPr>
          <w:b/>
          <w:bCs/>
        </w:rPr>
      </w:pPr>
      <w:r>
        <w:t>колебательными уровнями молекулы кварца происходит на длине волны 9.2 мкм, при этом высшие гармоники такого «осциллятора» (обертоны) расположены вблизи длин волн 3.2, 2.8 и 4.4 мкм.</w:t>
      </w:r>
    </w:p>
    <w:p w:rsidR="0044330F" w:rsidRDefault="0044330F" w:rsidP="0044330F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lang w:val="kk-KZ"/>
        </w:rPr>
        <w:t>Модуль 3</w:t>
      </w:r>
    </w:p>
    <w:p w:rsidR="0044330F" w:rsidRDefault="0044330F" w:rsidP="0044330F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  <w:lang w:val="kk-KZ"/>
        </w:rPr>
        <w:t xml:space="preserve">Лекции </w:t>
      </w:r>
      <w:r>
        <w:rPr>
          <w:b/>
          <w:bCs/>
        </w:rPr>
        <w:t>12-13</w:t>
      </w:r>
    </w:p>
    <w:p w:rsidR="0044330F" w:rsidRDefault="0044330F" w:rsidP="0044330F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Волоконные </w:t>
      </w:r>
      <w:proofErr w:type="spellStart"/>
      <w:r>
        <w:rPr>
          <w:b/>
          <w:bCs/>
        </w:rPr>
        <w:t>световоды</w:t>
      </w:r>
      <w:proofErr w:type="spellEnd"/>
      <w:r>
        <w:rPr>
          <w:b/>
          <w:bCs/>
        </w:rPr>
        <w:t xml:space="preserve"> с градиентным профилем показателя</w:t>
      </w:r>
    </w:p>
    <w:p w:rsidR="0044330F" w:rsidRDefault="0044330F" w:rsidP="0044330F">
      <w:pPr>
        <w:jc w:val="center"/>
        <w:rPr>
          <w:b/>
          <w:bCs/>
        </w:rPr>
      </w:pPr>
      <w:r>
        <w:rPr>
          <w:b/>
          <w:bCs/>
        </w:rPr>
        <w:t>преломления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Волноводные моды в градиентном </w:t>
      </w:r>
      <w:proofErr w:type="spellStart"/>
      <w:r>
        <w:t>световоде</w:t>
      </w:r>
      <w:proofErr w:type="spellEnd"/>
      <w:r>
        <w:t xml:space="preserve"> распространяются внутри </w:t>
      </w:r>
      <w:proofErr w:type="spellStart"/>
      <w:r>
        <w:t>световода</w:t>
      </w:r>
      <w:proofErr w:type="spellEnd"/>
      <w:r>
        <w:t xml:space="preserve">, если подкоренное выражение в 83 положительно, в противном случае мнимая функция 0 </w:t>
      </w:r>
      <w:r>
        <w:rPr>
          <w:i/>
          <w:iCs/>
        </w:rPr>
        <w:t xml:space="preserve">Q </w:t>
      </w:r>
      <w:r>
        <w:t xml:space="preserve">отвечает «вытекающим» модам. Следовательно, в пределах радиусов 1 2 </w:t>
      </w:r>
      <w:proofErr w:type="gramStart"/>
      <w:r>
        <w:rPr>
          <w:i/>
          <w:iCs/>
        </w:rPr>
        <w:t xml:space="preserve">r </w:t>
      </w:r>
      <w:r>
        <w:t>,</w:t>
      </w:r>
      <w:proofErr w:type="gramEnd"/>
      <w:r>
        <w:t xml:space="preserve"> </w:t>
      </w:r>
      <w:r>
        <w:rPr>
          <w:i/>
          <w:iCs/>
        </w:rPr>
        <w:t xml:space="preserve">r </w:t>
      </w:r>
      <w:r>
        <w:t xml:space="preserve">амплитуды мод осциллируют, а вне этих радиусов –монотонно затухают. Направляемым модам градиентного </w:t>
      </w:r>
      <w:proofErr w:type="spellStart"/>
      <w:r>
        <w:t>световода</w:t>
      </w:r>
      <w:proofErr w:type="spellEnd"/>
      <w:r>
        <w:t xml:space="preserve"> соответствуют световые лучи, распространяющиеся по винтовым траекториям между поверхностями каустики (геометрическим местом точек поворота лучей), определяемым </w:t>
      </w:r>
      <w:proofErr w:type="gramStart"/>
      <w:r>
        <w:t xml:space="preserve">равенствами  </w:t>
      </w:r>
      <w:r>
        <w:rPr>
          <w:i/>
          <w:iCs/>
        </w:rPr>
        <w:t>r</w:t>
      </w:r>
      <w:proofErr w:type="gramEnd"/>
      <w:r>
        <w:rPr>
          <w:i/>
          <w:iCs/>
        </w:rPr>
        <w:t xml:space="preserve"> </w:t>
      </w:r>
      <w:r>
        <w:t>1</w:t>
      </w:r>
      <w:r>
        <w:rPr>
          <w:rFonts w:eastAsia="SymbolMT"/>
        </w:rPr>
        <w:t xml:space="preserve">= </w:t>
      </w:r>
      <w:r>
        <w:rPr>
          <w:i/>
          <w:iCs/>
        </w:rPr>
        <w:t xml:space="preserve">r </w:t>
      </w:r>
      <w:r>
        <w:t xml:space="preserve">2. 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Очевидно, параметр профиля </w:t>
      </w:r>
      <w:r>
        <w:rPr>
          <w:rFonts w:eastAsia="SymbolMT"/>
        </w:rPr>
        <w:t xml:space="preserve">α </w:t>
      </w:r>
      <w:r>
        <w:t>градиентного волновода существенно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влияет на его волноводные характеристики, в том числе на время распространения мод. Плотность потока мощности электромагнитного излучения описывается комплексным ветром </w:t>
      </w:r>
      <w:proofErr w:type="spellStart"/>
      <w:r>
        <w:t>Пойнтинга</w:t>
      </w:r>
      <w:proofErr w:type="spellEnd"/>
      <w:r>
        <w:t>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Характерно, что при малых значениях </w:t>
      </w:r>
      <w:r>
        <w:rPr>
          <w:i/>
          <w:iCs/>
        </w:rPr>
        <w:t xml:space="preserve">V </w:t>
      </w:r>
      <w:r>
        <w:t>- параметра, значительная доля мощности излучения переносится не сердцевиной, а оболочкой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proofErr w:type="spellStart"/>
      <w:r>
        <w:t>одномодового</w:t>
      </w:r>
      <w:proofErr w:type="spellEnd"/>
      <w:r>
        <w:t xml:space="preserve"> </w:t>
      </w:r>
      <w:proofErr w:type="spellStart"/>
      <w:r>
        <w:t>световода</w:t>
      </w:r>
      <w:proofErr w:type="spellEnd"/>
      <w:r>
        <w:t xml:space="preserve">. Для мод высоких порядков похожая картина может иметь место и при больших значениях </w:t>
      </w:r>
      <w:proofErr w:type="gramStart"/>
      <w:r>
        <w:rPr>
          <w:i/>
          <w:iCs/>
        </w:rPr>
        <w:t xml:space="preserve">V </w:t>
      </w:r>
      <w:r>
        <w:t>.</w:t>
      </w:r>
      <w:proofErr w:type="gramEnd"/>
    </w:p>
    <w:p w:rsidR="0044330F" w:rsidRDefault="0044330F" w:rsidP="0044330F">
      <w:pPr>
        <w:autoSpaceDE w:val="0"/>
        <w:autoSpaceDN w:val="0"/>
        <w:adjustRightInd w:val="0"/>
        <w:ind w:right="-143"/>
        <w:jc w:val="both"/>
      </w:pPr>
      <w:r>
        <w:t xml:space="preserve">     Деформации, в том числе изгиб волокна сопровождаются нарушением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условия полного внутреннего отражения на границе сердцевина- оболочка оптоволокна и как следствие «перекачкой» энергии излучения от волноводных к оболочечным (</w:t>
      </w:r>
      <w:proofErr w:type="spellStart"/>
      <w:r>
        <w:t>излучательным</w:t>
      </w:r>
      <w:proofErr w:type="spellEnd"/>
      <w:r>
        <w:t xml:space="preserve">) модам. Этот процесс наиболее 42 активен для мод высокого порядка. В изогнутом </w:t>
      </w:r>
      <w:proofErr w:type="spellStart"/>
      <w:r>
        <w:t>световоде</w:t>
      </w:r>
      <w:proofErr w:type="spellEnd"/>
      <w:r>
        <w:t xml:space="preserve"> расчет параметров волноводных мод и условий их распространения </w:t>
      </w:r>
      <w:r>
        <w:lastRenderedPageBreak/>
        <w:t xml:space="preserve">довольно сложен, здесь необходимо также принимать </w:t>
      </w:r>
      <w:proofErr w:type="gramStart"/>
      <w:r>
        <w:t>во внимание</w:t>
      </w:r>
      <w:proofErr w:type="gramEnd"/>
      <w:r>
        <w:t xml:space="preserve"> вызванное деформациями ВС явление </w:t>
      </w:r>
      <w:proofErr w:type="spellStart"/>
      <w:r>
        <w:t>фотоупругости</w:t>
      </w:r>
      <w:proofErr w:type="spellEnd"/>
      <w:r>
        <w:t>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Для ступенчатого (</w:t>
      </w:r>
      <w:r>
        <w:rPr>
          <w:rFonts w:eastAsia="SymbolMT"/>
        </w:rPr>
        <w:t>α = ∞</w:t>
      </w:r>
      <w:r>
        <w:t xml:space="preserve">) </w:t>
      </w:r>
      <w:proofErr w:type="spellStart"/>
      <w:r>
        <w:t>световода</w:t>
      </w:r>
      <w:proofErr w:type="spellEnd"/>
      <w:r>
        <w:t xml:space="preserve"> из 97 следует формула 74, а для прямого градиентного </w:t>
      </w:r>
      <w:proofErr w:type="spellStart"/>
      <w:r>
        <w:t>световода</w:t>
      </w:r>
      <w:proofErr w:type="spellEnd"/>
      <w:r>
        <w:t xml:space="preserve"> с параболическим (</w:t>
      </w:r>
      <w:r>
        <w:rPr>
          <w:rFonts w:eastAsia="SymbolMT"/>
        </w:rPr>
        <w:t xml:space="preserve">α = </w:t>
      </w:r>
      <w:proofErr w:type="gramStart"/>
      <w:r>
        <w:t>2 )</w:t>
      </w:r>
      <w:proofErr w:type="gramEnd"/>
      <w:r>
        <w:t xml:space="preserve"> профилем число волноводных мод в два раза меньше, чем у ступенчатого </w:t>
      </w:r>
      <w:proofErr w:type="spellStart"/>
      <w:r>
        <w:t>световода</w:t>
      </w:r>
      <w:proofErr w:type="spellEnd"/>
      <w:r>
        <w:t xml:space="preserve"> с тем же эффективным радиусом сердцевины (отсюда, впрочем, не следует, что оптические потери в градиентном ВС выше, чем в ступенчатом ВС).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 Дисперсия (с латинского – рассеяние) в оптической связи означает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уширение передаваемого импульсного сигнала, то есть увеличение его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длительности. Явление дисперсии является одним из главных факторов,</w:t>
      </w:r>
    </w:p>
    <w:p w:rsidR="0044330F" w:rsidRDefault="0044330F" w:rsidP="0044330F">
      <w:pPr>
        <w:jc w:val="both"/>
      </w:pPr>
      <w:r>
        <w:t>ограничивающих скорость передачи информации в линиях связи.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В </w:t>
      </w:r>
      <w:proofErr w:type="spellStart"/>
      <w:r>
        <w:t>одномодовых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явление дисперсии носит сильно выраженный хроматический, то есть зависящий от длины световой волны, характер. В </w:t>
      </w:r>
      <w:proofErr w:type="spellStart"/>
      <w:r>
        <w:t>многомодовых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основной причиной дисперсии является различие постоянных распространения различных волноводных мод, в результате которого групповые задержки разных мод даже на одной длине волны значительно различаются.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 Определенному значению </w:t>
      </w:r>
      <w:r>
        <w:rPr>
          <w:i/>
          <w:iCs/>
        </w:rPr>
        <w:t xml:space="preserve">V </w:t>
      </w:r>
      <w:r>
        <w:t>соответствует множество значений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параметра групповой задержки, отвечающих различным </w:t>
      </w:r>
      <w:proofErr w:type="gramStart"/>
      <w:r>
        <w:t xml:space="preserve">модам  </w:t>
      </w:r>
      <w:proofErr w:type="spellStart"/>
      <w:r>
        <w:t>световода</w:t>
      </w:r>
      <w:proofErr w:type="spellEnd"/>
      <w:proofErr w:type="gramEnd"/>
      <w:r>
        <w:t xml:space="preserve">. Различия величин </w:t>
      </w:r>
      <w:r>
        <w:rPr>
          <w:i/>
          <w:iCs/>
        </w:rPr>
        <w:t>d</w:t>
      </w:r>
      <w:r>
        <w:t>(</w:t>
      </w:r>
      <w:proofErr w:type="spellStart"/>
      <w:r>
        <w:rPr>
          <w:i/>
          <w:iCs/>
        </w:rPr>
        <w:t>Vb</w:t>
      </w:r>
      <w:proofErr w:type="spellEnd"/>
      <w:r>
        <w:t xml:space="preserve">) / </w:t>
      </w:r>
      <w:proofErr w:type="spellStart"/>
      <w:r>
        <w:rPr>
          <w:i/>
          <w:iCs/>
        </w:rPr>
        <w:t>dV</w:t>
      </w:r>
      <w:proofErr w:type="spellEnd"/>
      <w:r>
        <w:rPr>
          <w:i/>
          <w:iCs/>
        </w:rPr>
        <w:t xml:space="preserve"> </w:t>
      </w:r>
      <w:r>
        <w:t xml:space="preserve">и определяют разброс времен распространения различных мод в </w:t>
      </w:r>
      <w:proofErr w:type="spellStart"/>
      <w:r>
        <w:t>многомодовом</w:t>
      </w:r>
      <w:proofErr w:type="spellEnd"/>
      <w:r>
        <w:t xml:space="preserve"> </w:t>
      </w:r>
      <w:proofErr w:type="spellStart"/>
      <w:r>
        <w:t>световоде</w:t>
      </w:r>
      <w:proofErr w:type="spellEnd"/>
      <w:r>
        <w:t xml:space="preserve">, который характеризует </w:t>
      </w:r>
      <w:proofErr w:type="spellStart"/>
      <w:r>
        <w:t>межмодовую</w:t>
      </w:r>
      <w:proofErr w:type="spellEnd"/>
      <w:r>
        <w:t xml:space="preserve"> дисперсию волновода. При этом обычно предполагается, что на входе </w:t>
      </w:r>
      <w:proofErr w:type="spellStart"/>
      <w:r>
        <w:t>световода</w:t>
      </w:r>
      <w:proofErr w:type="spellEnd"/>
      <w:r>
        <w:t xml:space="preserve"> энергия излучения равномерно распределена между всеми направляемыми модами волновода.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 xml:space="preserve">     В </w:t>
      </w:r>
      <w:proofErr w:type="spellStart"/>
      <w:r>
        <w:t>одномодовых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полная величина дисперсии равна алгебраической сумме волноводной («</w:t>
      </w:r>
      <w:proofErr w:type="spellStart"/>
      <w:r>
        <w:t>внутримодовой</w:t>
      </w:r>
      <w:proofErr w:type="spellEnd"/>
      <w:r>
        <w:t>») дисперсии и</w:t>
      </w:r>
    </w:p>
    <w:p w:rsidR="0044330F" w:rsidRDefault="0044330F" w:rsidP="0044330F">
      <w:pPr>
        <w:autoSpaceDE w:val="0"/>
        <w:autoSpaceDN w:val="0"/>
        <w:adjustRightInd w:val="0"/>
        <w:jc w:val="both"/>
      </w:pPr>
      <w:r>
        <w:t>материальной дисперсии. При этом длина волны и ширина спектра направляемого излучения играет существенную роль.</w:t>
      </w:r>
    </w:p>
    <w:p w:rsidR="0044330F" w:rsidRPr="0044330F" w:rsidRDefault="0044330F" w:rsidP="0044330F">
      <w:pPr>
        <w:autoSpaceDE w:val="0"/>
        <w:autoSpaceDN w:val="0"/>
        <w:adjustRightInd w:val="0"/>
        <w:jc w:val="both"/>
        <w:rPr>
          <w:b/>
          <w:bCs/>
        </w:rPr>
      </w:pPr>
      <w:r>
        <w:t xml:space="preserve">   </w:t>
      </w:r>
      <w:proofErr w:type="spellStart"/>
      <w:r>
        <w:t>Внутримодовая</w:t>
      </w:r>
      <w:proofErr w:type="spellEnd"/>
      <w:r>
        <w:t xml:space="preserve"> дисперсия </w:t>
      </w:r>
      <w:r>
        <w:rPr>
          <w:i/>
          <w:iCs/>
        </w:rPr>
        <w:t xml:space="preserve">w D </w:t>
      </w:r>
      <w:r>
        <w:t xml:space="preserve">имеет место в </w:t>
      </w:r>
      <w:proofErr w:type="spellStart"/>
      <w:r>
        <w:t>одномодовых</w:t>
      </w:r>
      <w:proofErr w:type="spellEnd"/>
      <w:r>
        <w:t xml:space="preserve"> </w:t>
      </w:r>
      <w:proofErr w:type="spellStart"/>
      <w:r>
        <w:t>световодах</w:t>
      </w:r>
      <w:proofErr w:type="spellEnd"/>
      <w:r>
        <w:t xml:space="preserve"> и является следствием зависимости постоянной распространения от длины волны, не связанной с дисперсией показателя преломления материала </w:t>
      </w:r>
      <w:proofErr w:type="spellStart"/>
      <w:r>
        <w:t>световода</w:t>
      </w:r>
      <w:proofErr w:type="spellEnd"/>
      <w:r>
        <w:t>.</w:t>
      </w:r>
    </w:p>
    <w:p w:rsidR="00B420CC" w:rsidRDefault="0044330F">
      <w:bookmarkStart w:id="0" w:name="_GoBack"/>
      <w:bookmarkEnd w:id="0"/>
    </w:p>
    <w:sectPr w:rsidR="00B42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5AE"/>
    <w:rsid w:val="0044330F"/>
    <w:rsid w:val="00527B23"/>
    <w:rsid w:val="006A6DB8"/>
    <w:rsid w:val="00BF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30B311-27B5-4238-91DD-831579BEC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3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44330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4433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4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1361</Words>
  <Characters>7763</Characters>
  <Application>Microsoft Office Word</Application>
  <DocSecurity>0</DocSecurity>
  <Lines>64</Lines>
  <Paragraphs>18</Paragraphs>
  <ScaleCrop>false</ScaleCrop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2024-03-28T04:09:00Z</dcterms:created>
  <dcterms:modified xsi:type="dcterms:W3CDTF">2024-03-28T04:09:00Z</dcterms:modified>
</cp:coreProperties>
</file>